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270 vom 18. September 1991</w:t>
      </w:r>
    </w:p>
    <w:p>
      <w:r>
        <w:t>Bundesgericht (BGE), 1991-09-18, DE</w:t>
      </w:r>
    </w:p>
    <w:p>
      <w:r>
        <w:rPr>
          <w:b/>
        </w:rPr>
        <w:t xml:space="preserve">Quelle: </w:t>
      </w:r>
      <w:r>
        <w:t>https://mcp.opencaselaw.ch/entscheid/bge_117 IB 270</w:t>
      </w:r>
    </w:p>
    <w:p>
      <w:r>
        <w:t>FR: BGE 117 IB 270 du 18 septembre 1991</w:t>
      </w:r>
    </w:p>
    <w:p>
      <w:r>
        <w:t>IT: BGE 117 IB 270 del 18 settembre 1991</w:t>
      </w:r>
    </w:p>
    <w:p>
      <w:pPr>
        <w:pStyle w:val="Heading2"/>
      </w:pPr>
      <w:r>
        <w:t>Regeste</w:t>
      </w:r>
    </w:p>
    <w:p>
      <w:r>
        <w:t>Regeste Raumplanerische Ausnahmebewilligung, Natur- und Heimatschutz. 1. Art. 12 NHG, Art. 55 USG, Art. 24 RPG; Beschwerderecht der gesamtschweizerischen Umweltschutzorganisationen. Pflicht der gesamtschweizerischen ideellen Vereinigungen zur Beteiligung am kantonalen Verfahren (E. 1a-c). 2. Art. 16, 22, 24 RPG; Zonenkonformität in der Landwirtschaftszone, Ausnahmebewilligung für eine Geflügelmasthalle. Bauten für die bodenunabhängige Geflügelmast sind in einer Landwirtschaftszone grundsätzlich nicht zonenkonform (E. 3). Sie können jedoch zur Aufstockung eines Landwirtschaftsbetriebs standortgebunden sein (Art. 24 Abs. 1 RPG). Standortgebundenheit im vorliegenden Fall bejaht (E. 4).</w:t>
      </w:r>
    </w:p>
    <w:p>
      <w:pPr>
        <w:pStyle w:val="Heading2"/>
      </w:pPr>
      <w:r>
        <w:t>Erwägungen</w:t>
      </w:r>
    </w:p>
    <w:p>
      <w:r>
        <w:rPr>
          <w:b/>
        </w:rPr>
        <w:t>E. 1</w:t>
      </w:r>
    </w:p>
    <w:p>
      <w:r>
        <w:t>Besteht in einem Verfahren ein Beschwerderecht nach Art. 12 Abs. 1 NHG , so zeigt die Behörde das Gesuch oder die beabsichtigte Verfügung den Gemeinden und Organisationen durch schriftliche Mitteilung oder durch Veröffentlichung im Bundesblatt oder im kantonalen Publikationsorgan an. Ausgenommen sind die in Art. 30 Abs. 2 aufgeführten Fälle.</w:t>
      </w:r>
    </w:p>
    <w:p>
      <w:r>
        <w:rPr>
          <w:b/>
        </w:rPr>
        <w:t>E. 2</w:t>
      </w:r>
    </w:p>
    <w:p>
      <w:r>
        <w:t>Mit dem angefochtenen Entscheid erteilte der Regierungsrat eine Ausnahmebewilligung nach Art. 24 Abs. 1 RPG für eine Geflügelmasthalle in der Landwirtschaftszone ( Art. 16 RPG ). Die Beschwerdeführer bestreiten die Zulässigkeit des Vorhabens sowohl unter dem Gesichtspunkt der Zonenkonformität nach Art. 22 Abs. 2 lit. a RPG als auch demjenigen der Standortgebundenheit nach Art. 24 Abs. 1 lit. a RPG . Sie sind der Meinung, eine solche Masthalle gehöre in eine Gewerbezone. Es ist zunächst zu prüfen, ob die umstrittene Baute der in der Landwirtschaftszone geltenden Nutzungsordnung tatsächlich nicht entspricht und somit eine ordentliche Baubewilligung für zonenkonforme Bauten und Anlagen im Sinne von Art. 22 RPG nicht in Frage kommt, wie dies der Regierungsrat und die Beschwerdeführer annehmen. Wenn sich diese Auffassung als zutreffend erweist, stellt sich weiter die Frage, ob die Masthalle wegen ihres Ausmasses und ihrer Auswirkungen auf die Umwelt nur in einem Planungsverfahren angemessen erfasst werden kann und deshalb der bundesrechtlichen Planungspflicht unterliegt (vgl. BGE 116 Ib 53 f. E. 3a, 139 E. 4, BGE 115 Ib 513 E. 6a, BGE 114 Ib 315 ff., je mit Hinweisen). Ist dies nicht der Fall, bleibt zu untersuchen, ob die Halle als Ausnahme nach Art. 24 RPG bewilligt werden darf ( BGE 116 Ib 229 f. E. 2, BGE 115 Ib 297 E. 2, je mit weiteren Hinweisen). Dabei muss abgeklärt werden, ob gestützt auf kantonales Recht, das nach Art. 24 Abs. 2 RPG zur Anwendung gelangt, eine Ausnahmebewilligung in Frage kommt. Trifft dies nicht zu, so ist zu prüfen, ob das Vorhaben nach der abschliessenden bundesrechtlichen Regelung von Art. 24 Abs. 1 RPG zulässig ist ( BGE 108 Ib 132 E. 1a mit Hinweisen).</w:t>
      </w:r>
    </w:p>
    <w:p>
      <w:r>
        <w:rPr>
          <w:b/>
        </w:rPr>
        <w:t>E. 3</w:t>
      </w:r>
    </w:p>
    <w:p>
      <w:r>
        <w:t>a) Die Landwirtschaftszone umfasst gemäss Art. 16 RPG Land, das sich für die landwirtschaftliche Nutzung bzw. den Gartenbau eignet oder im Gesamtinteresse landwirtschaftlich genutzt BGE 117 Ib 270 S. 279 werden soll. Dem Zweck der Landwirtschaftszone entsprechen Bauten und Anlagen dann, wenn für die Nutzung, der sie dienen, der Boden als Produktionsfaktor unentbehrlich ist; wo landwirtschaftliche Erzeugnisse bodenunabhängig gewonnen werden, liegt keine landwirtschaftliche Nutzung im Sinne von Art. 16 RPG vor ( BGE 116 Ib 134 E. 3a, BGE 115 Ib 297 E. 3a, je mit Hinweisen). Bauten und Anlagen für die Tierhaltung in der Landwirtschaftszone können somit nur dann als zonenkonform im Sinne von Art. 22 Abs. 2 lit. a RPG bewilligt werden, wenn der Landwirtschaftsbetrieb über eine ausreichende eigene Futterbasis verfügt und die Tiere nicht überwiegend mit zugekauften Futtermitteln ernährt werden. Je nach Art der Nutzung muss ein angemessener, jedenfalls überwiegender Anteil betriebseigener Futtermittel verfügbar sein (LEO SCHÜRMANN, Zulässigkeit von Aufstockungsbetrieben in der Landwirtschaftszone, Rechtsgutachten, Bundesamt für Raumplanung, Bern 1990, S. 4). Nur von untergeordneter Bedeutung für die Anerkennung der Tierhaltung als landwirtschaftliche Nutzung im Sinne der Raumplanung ist das Merkmal der Jaucheverwertung. Aus dem Umstand, dass die Jauche als Dünger auf landwirtschaftlichem Boden ausgebracht werden kann, ergibt sich noch keine landwirtschaftliche Nutzung ( BGE 115 Ib 298 E. 2c). Ein überwiegend bodenabhängiger Betrieb kann zudem über Bauten verfügen, denen eine direkte betriebliche Hilfsfunktion zukommt (z.B. Einstell- bzw. Lagerräume für Bewirtschaftungsgeräte oder landwirtschaftliche Hilfsstoffe etc.). Bei der Beurteilung der Zonenkonformität ist nach der Praxis entscheidend, ob der Betrieb bei einer gesamthaften Betrachtung seines langfristigen Bewirtschaftungskonzepts und der zu dessen Realisierung eingesetzten Mittel grundsätzlich als bodenabhängiger Betrieb bezeichnet werden kann (vgl. BGE 116 Ib 137 E. 3d mit Hinweisen). b) Nach Auffassung einer Arbeitsgruppe der Bundesämter für Raumplanung und für Landwirtschaft sollte im Rahmen einer Gesamtbetrachtung unter gewissen Umständen auch eine Masthalle ohne eigene Futterbasis in der Landwirtschaftszone als zonenkonform betrachtet werden, wenn das mit ihr erzielte zusätzliche Einkommen die Existenz des Landwirtschaftsbetriebs sichere (so auch M. HUSER, Die Bodenabhängigkeit der Tierhaltung nach Landwirtschafts- und Raumplanungsrecht, in Blätter für Agrarrecht 1991, S. 41 ff.). In einem Zwischenbericht vom 29. Mai 1991 vertritt die genannte Arbeitsgruppe die Meinung, dass die Zonenkonformität BGE 117 Ib 270 S. 280 bejaht werden solle, wenn ein bestimmter Anteil des Gesamteinkommens des Betriebsinhabers durch eine bodenunabhängige Produktion erzielt werde, etwa ein Anteil von 30, evtl. bis 40%, während der hauptsächliche Einkommensanteil von 60 bis 70% aus bodenabhängiger Produktion erwirtschaftet werden müsse. c) Am bundesgerichtlichen Augenschein hat sich gezeigt, dass X. auf seinem Hof vorwiegend bodenabhängige Milchwirtschaft betreibt und dass er kein eigenes Futter für die Trutenmast produziert. Sämtliche Nahrung für die Truten wird zugekauft. Es liegt somit, wie der Regierungsrat richtig gefolgert hat, eine innere Aufstockung durch einen bodenunabhängigen Mastbetrieb von erheblichem Ausmass vor, welche nach der bundesgerichtlichen Praxis in der Landwirtschaftszone nicht zonenkonform ist, weil es sich bei diesem neuen Betriebsteil nicht um eine konventionelle bodenabhängige landwirtschaftliche Nutzung handelt (vgl. Urteil vom 14. März 1990 in ZBl 92/1991, S. 174 ff.). In raumplanerischer Hinsicht ist massgebend, dass die Masthalle keine direkte Hilfsfunktion für die bisherige zonenkonforme landwirtschaftliche Nutzung erfüllt und auch keinen funktionellen Zusammenhang mit den über 100 m entfernten landwirtschaftlichen Gebäuden des Beschwerdegegners aufweist. Es handelt sich bei der Trutenmast vielmehr um einen zusätzlichen, eigenständigen Produktionsteil, der die landwirtschaftliche Tätigkeit ergänzt. Somit kann auch im Hinblick auf die raumplanerische Gesamtbetrachtung (vgl. BGE 116 Ib 137 E. 3d mit Hinweisen) nicht gesagt werden, eine derart eigenständige, bodenunabhängig bewirtschaftete Trutenmasthalle sei allein deshalb zonenkonform, weil sie die Existenzsicherung des herkömmlichen Landwirtschaftsbetriebs des Beschwerdegegners ermögliche. Entgegen der oben (E. 3b) wiedergegebenen Meinung einer Arbeitsgruppe der Bundesämter für Raumplanung und für Landwirtschaft kann es für die Beantwortung der Frage der Zonenkonformität im Sinne von Art. 22 Abs. 2 lit. a RPG nicht darauf ankommen, ob ein Landwirt aus wirtschaftlichen Gründen auf einen zonenfremden Erwerbszweig angewiesen ist. Ebensowenig geht es an, zur Ermittlung der Zonenkonformität auf blosse Prozentzahlen für den Anteil der bodenabhängigen bzw. bodenunabhängigen Bewirtschaftung abzustellen (vgl. BGE 116 Ib 136 ). Entscheidend ist vielmehr, ob die umstrittene Baute unter Berücksichtigung des auf dem Landwirtschaftsbetrieb verfolgten Bewirtschaftungskonzepts BGE 117 Ib 270 S. 281 dem Zweck der Landwirtschaftszone entspricht. Dies ist bei einer völlig bodenunabhängig bewirtschafteten Masthalle - auch wenn sie der Existenzerhaltung des gesamten Landwirtschaftsbetriebs dient - zweifelsfrei nicht der Fall. d) Somit ergibt sich, dass für die umstrittene Masthalle mangels Zonenkonformität keine Baubewilligung nach Art. 22 RPG erteilt werden kann. Es handelt sich im übrigen auch nicht um ein Vorhaben, das nur in einem Planungsverfahren angemessen erfasst werden könnte, da dessen räumliche Auswirkungen verhältnismässig eng begrenzt sind (vgl. BGE 116 Ib 53 f. E. 3a, 139 E. 4, BGE 115 Ib 513 E. 6a, je mit Hinweisen), so dass im Rahmen der vorliegenden Verwaltungsgerichtsbeschwerde weiter zu untersuchen ist, ob die Baute als Ausnahme im Sinne von Art. 24 RPG bewilligt werden kann.</w:t>
      </w:r>
    </w:p>
    <w:p>
      <w:r>
        <w:rPr>
          <w:b/>
        </w:rPr>
        <w:t>E. 4</w:t>
      </w:r>
    </w:p>
    <w:p>
      <w:r>
        <w:t>Unbestritten ist, dass auf die Masthalle Art. 24 Abs. 2 RPG nicht anwendbar ist, da es sich um einen Neubau handelt. Eine Ausnahmebewilligung nach Art. 24 Abs. 1 RPG kann erteilt werden, wenn der Zweck der Baute einen Standort ausserhalb der Bauzone erfordert (lit. a) und wenn dem Vorhaben keine überwiegenden Interessen entgegenstehen (lit. b). Beide Voraussetzungen müssen kumulativ erfüllt sein ( BGE 116 Ib 230 E. 3, BGE 115 Ib 298 f. E. 3 mit Hinweisen). a) Die Standortgebundenheit wird nach der bundesgerichtlichen Praxis nur dann bejaht,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oder Bequemlichkeit ankommen. Zudem sind an die Erfordernisse der Standortgebundenheit strenge Anforderungen zu stellen ( BGE 116 Ib 230 E. 3a, BGE 115 Ib 299 E. 3a, BGE 113 Ib 141 E. 5a, je mit Hinweisen). In diesem Sinne können, wie aus den nachfolgenden Erwägungen hervorgeht, nicht zonenkonforme Bauten, die einem Landwirtschaftsbetrieb dienen und zu dessen Sicherung notwendig sind, unter gewissen Voraussetzungen ausserhalb der Bauzonen als standortgebunden anerkannt werden. b) Wie in E. 3 hiervor dargelegt wurde, kann die bodenunabhängig bewirtschaftete Masthalle in der Landwirtschaftszone nicht als zonenkonform betrachtet werden. Nach Ansicht des Beschwerdegegners und des Regierungsrats ist jedoch die Standortgebundenheit BGE 117 Ib 270 S. 282 aus betriebswirtschaftlichen Gründen zu bejahen, weil nur mit der Aufstockung die Existenz des gesamten Landwirtschaftsbetriebs gesichert sei. Diese Frage kann nicht generell beantwortet werden. Die Standortgebundenheit ist vielmehr im Einzelfall, je nach Art und Grösse des herkömmlichen Landwirtschaftsbetriebs und des in Frage stehenden bodenunabhängigen Betriebszweigs sowie nach Massgabe der jeweiligen örtlichen Verhältnisse zu beurteilen. aa) Im vorliegenden Fall steht ein kleinerer Landwirtschaftsbetrieb mit einer Fläche von 10,2 ha zur Diskussion, der, mit Ausnahme der Trutenmast, in der Landwirtschaftszone zonenkonform bewirtschaftet wird. Das zusätzliche Einkommen aus der bodenunabhängigen Trutenmast beträgt nach der Aufstockung etwa 30 bis höchstens 35% des gesamten Betriebseinkommens von ca. Fr. 50'000.--. Dieses Einkommen ist zur Existenzsicherung des gesamten, im übrigen zonenkonformen Landwirtschaftsbetriebs erforderlich. bb) An der Erhaltung solcher Betriebe, die im Kanton Schwyz weit verbreitet sind, besteht ein erhebliches öffentliches Interesse. Dies lässt sich u.a. schon daran erkennen, dass gemäss Art. 31bis Abs. 3 lit. b BV zur Erhaltung eines gesunden Bauernstandes und einer leistungsfähigen Landwirtschaft sowie zur Festigung des bäuerlichen Grundbesitzes sogar Abweichungen von der Handels- und Gewerbefreiheit ausdrücklich zulässig sind. Die genannte Zielsetzung entspricht auch dem Gebot von Art. 22quater BV , mit Massnahmen der Raumplanung die zweckmässige Nutzung des Bodens und eine geordnete Besiedlung des Landes zu fördern. Mit raumplanerischen Massnahmen sollen u.a. die natürlichen Lebensgrundlagen geschützt, das soziale, wirtschaftliche und kulturelle Leben in den einzelnen Landesteilen gefördert und die ausreichende Versorgungsbasis des Landes gesichert werden (Art. 1 Abs. 2 lit. a, c und d RPG). Dabei ist darauf zu achten, dass die Landschaft geschont wird, die Landwirtschaft über genügende Flächen geeigneten Kulturlandes verfügt und naturnahe Landschaften und Erholungsräume erhalten bleiben ( Art. 3 Abs. 2 RPG ). Die Sicherung der Existenzfähigkeit kleinerer Landwirtschaftsbetriebe dient diesen Zielen. Hinzu kommt im vorliegenden Fall, dass auch Teile des vom Beschwerdegegner genutzten Ackerlandes zu den geschützten Fruchtfolgeflächen gemäss Art. 16 ff. RPV gehören. Auch kommt der Pflege der in Frage stehenden Kulturlandschaft, in welcher sich der geschützte Weiler Ecce BGE 117 Ib 270 S. 283 Homo befindet, erhebliche Bedeutung zu, geht es dabei doch um Flächen, die im Sinne von Art. 16 Abs. 1 lit. b RPG ebenfalls im Gesamtinteresse landwirtschaftlich genutzt werden sollen. cc) Zudem ist zu beachten, dass Art. 13 der Stallbauverordnung des Bundes die Bewilligung von Aufstockungen grundsätzlich nur zulässt, wenn nach der Aufstockung eine bestimmte Einkommensgrenze (z.Zt. Fr. 85'000.--) nicht überschritten wird (lit. a), der Landwirtschaftsbetrieb einen wesentlichen Anteil offener Ackerfläche aufweist (lit. b) und mindestens 50% des Betriebseinkommens aus rein landwirtschaftlichen Produktionszweigen erzielt werden kann (lit. c). Diese Bestimmungen, die im Rahmen der Prüfung der Standortgebundenheit des Aufstockungsteils mitzuberücksichtigen sind, sprechen ebenfalls dafür, dass massvolle Aufstockungen dann bewilligt werden sollten, wenn sie sich aus betriebswirtschaftlichen Gründen zur Erhaltung einer landwirtschaftlichen Existenzgrundlage aufdrängen. dd) Die zur Existenzsicherung notwendige Trutenmast könnte nicht in grösserer Entfernung vom Landwirtschaftsbetrieb durchgeführt werden, weil die Betreuung der Truten die Anwesenheit von Betreuungspersonen rund um die Uhr, also auch nachts, erfordert. Es kann dem Beschwerdegegner somit nicht zugemutet werden, einen weiter entfernten Standort zu wählen. ee) Es ergibt sich somit dass die im vorliegenden Fall zu beurteilende Trutenmasthalle im Sinne von Art. 24 Abs. 1 lit. a RPG standortgebunden ist. c) Weiter ist abzuklären, ob dem Vorhaben keine überwiegenden Interessen entgegenstehen ( Art. 24 Abs. 1 lit. b RPG ). Die Beschwerdeführer weisen zu Recht auf die besondere Sorgfalt hin, welche aufgewendet werden muss, um Bauten und Anlagen gut in die empfindliche Landschaft einzufügen (vgl. Art. 1 Abs. 2 lit. a, Art. 3 Abs. 2 lit. b und d RPG ). In einer Entfernung von rund 350 m befindet sich der Weiler Ecce Homo, welcher, wie vorne erwähnt, ein vom Bund geschütztes Ortsbild darstellt. Bauten und Anlagen müssen in der empfindlichen Kulturlandschaft überdies gemäss der Anordnung des kantonalen Richtplans vom 22. Januar 1986 auf ihre Landschaftsverträglichkeit hin geprüft werden. Der bundesgerichtliche Augenschein hat gezeigt, dass der Beschwerdegegner auf seinem Land einen günstigen Standort gewählt hat, da sich die Geflügelmasthalle in einer leichten Geländemulde befindet und nicht besonders exponiert ist. Auch ist der Normbau mit Holz verkleidet und das Dach mit dunklem BGE 117 Ib 270 S. 284 Eternit bedeckt. Der Regierungsrat durfte bei dieser Sachlage das Vorhaben bewilligen, ohne dass ihm eine Verletzung des ihm zustehenden Ermessens vorgeworfen werden könnte. Problematisch sind freilich die beiden Silos, die ausserhalb des Gebäudes bewilligt wurden. Hier hat der Regierungsrat indessen eine geeignete Bepflanzung angeordnet, welche die Silos in angemessener Zeit jedenfalls teilweise verdecken wird. Die Silos ragen im übrigen kaum über den First der Masthalle hinaus. Von einer Beeinträchtigung des rund 350 m entfernten Weilers Ecce Homo kann unter diesen Umständen nicht gesprochen werden. Andere Interessen, die der Masthalle entgegenstehen könnten, sind nicht ersichtlich. Die vom Regierungsrat erteilte Ausnahmebewilligung ist somit auch im Lichte von Art. 24 Abs. 1 lit. b RPG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